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F1466D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7A089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F1466D">
        <w:rPr>
          <w:rFonts w:ascii="Times New Roman" w:hAnsi="Times New Roman" w:cs="Times New Roman"/>
          <w:b/>
          <w:sz w:val="30"/>
          <w:szCs w:val="30"/>
        </w:rPr>
        <w:t>6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6D" w:rsidRDefault="00F1466D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466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Resolução nº 13/2025 </w:t>
      </w:r>
    </w:p>
    <w:p w:rsidR="00F1466D" w:rsidRPr="00F1466D" w:rsidRDefault="00F1466D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66D">
        <w:rPr>
          <w:rFonts w:ascii="Times New Roman" w:hAnsi="Times New Roman" w:cs="Times New Roman"/>
          <w:b/>
          <w:sz w:val="28"/>
          <w:szCs w:val="28"/>
        </w:rPr>
        <w:t xml:space="preserve">Autoria: Comissão Executiva </w:t>
      </w:r>
    </w:p>
    <w:p w:rsidR="007A0896" w:rsidRPr="00F1466D" w:rsidRDefault="00F1466D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6D">
        <w:rPr>
          <w:rFonts w:ascii="Times New Roman" w:hAnsi="Times New Roman" w:cs="Times New Roman"/>
          <w:sz w:val="28"/>
          <w:szCs w:val="28"/>
        </w:rPr>
        <w:t>Ementa: Dispõe sobre a organização e o funcionamento dos serviços políticos e administrativos da Assembleia Legislativa do Estado do Paraná e dá outras providências.</w:t>
      </w:r>
    </w:p>
    <w:p w:rsidR="00F1466D" w:rsidRPr="00F1466D" w:rsidRDefault="00F1466D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6D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F1466D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1466D" w:rsidRPr="00F1466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1466D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139</cp:revision>
  <cp:lastPrinted>2025-12-11T13:21:00Z</cp:lastPrinted>
  <dcterms:created xsi:type="dcterms:W3CDTF">2025-04-14T16:53:00Z</dcterms:created>
  <dcterms:modified xsi:type="dcterms:W3CDTF">2025-12-11T13:21:00Z</dcterms:modified>
</cp:coreProperties>
</file>