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9C74C6">
        <w:rPr>
          <w:rFonts w:ascii="Times New Roman" w:hAnsi="Times New Roman" w:cs="Times New Roman"/>
          <w:b/>
          <w:sz w:val="30"/>
          <w:szCs w:val="30"/>
        </w:rPr>
        <w:t>DEFESA DO CONSUMIDOR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332112">
        <w:rPr>
          <w:rFonts w:ascii="Times New Roman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C74C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993B35">
        <w:rPr>
          <w:rFonts w:ascii="Times New Roman" w:hAnsi="Times New Roman" w:cs="Times New Roman"/>
          <w:b/>
          <w:sz w:val="30"/>
          <w:szCs w:val="30"/>
        </w:rPr>
        <w:t>1</w:t>
      </w:r>
      <w:r w:rsidR="00715CD3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993B35"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9C74C6" w:rsidRDefault="00853E3B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9C74C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93B35">
        <w:rPr>
          <w:rFonts w:ascii="Times New Roman" w:hAnsi="Times New Roman" w:cs="Times New Roman"/>
          <w:b/>
          <w:sz w:val="24"/>
          <w:szCs w:val="24"/>
          <w:u w:val="single"/>
        </w:rPr>
        <w:t>108</w:t>
      </w:r>
      <w:r w:rsidR="009C74C6" w:rsidRPr="009C74C6">
        <w:rPr>
          <w:rFonts w:ascii="Times New Roman" w:hAnsi="Times New Roman" w:cs="Times New Roman"/>
          <w:b/>
          <w:sz w:val="24"/>
          <w:szCs w:val="24"/>
          <w:u w:val="single"/>
        </w:rPr>
        <w:t>/2022</w:t>
      </w:r>
    </w:p>
    <w:p w:rsidR="00667F62" w:rsidRPr="00B91296" w:rsidRDefault="00853E3B" w:rsidP="009C7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93B35" w:rsidRPr="00B91296">
        <w:rPr>
          <w:rFonts w:ascii="Times New Roman" w:hAnsi="Times New Roman" w:cs="Times New Roman"/>
          <w:b/>
          <w:sz w:val="24"/>
          <w:szCs w:val="24"/>
        </w:rPr>
        <w:t xml:space="preserve">Gugu Bueno </w:t>
      </w:r>
      <w:r w:rsidR="009C74C6" w:rsidRPr="00B91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3B35" w:rsidRPr="00993B35" w:rsidRDefault="00993B35" w:rsidP="00993B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93B35">
        <w:rPr>
          <w:rFonts w:ascii="Times New Roman" w:hAnsi="Times New Roman" w:cs="Times New Roman"/>
          <w:sz w:val="24"/>
          <w:szCs w:val="24"/>
        </w:rPr>
        <w:t xml:space="preserve">stabelece a </w:t>
      </w:r>
      <w:r w:rsidRPr="00993B35">
        <w:rPr>
          <w:rFonts w:ascii="Times New Roman" w:hAnsi="Times New Roman" w:cs="Times New Roman"/>
          <w:sz w:val="24"/>
          <w:szCs w:val="24"/>
        </w:rPr>
        <w:t>obrigatoriedade de as concessionárias de água, e ene</w:t>
      </w:r>
      <w:r w:rsidRPr="00993B35">
        <w:rPr>
          <w:rFonts w:ascii="Times New Roman" w:hAnsi="Times New Roman" w:cs="Times New Roman"/>
          <w:sz w:val="24"/>
          <w:szCs w:val="24"/>
        </w:rPr>
        <w:t xml:space="preserve">rgia elétrica, possibilitarem a </w:t>
      </w:r>
      <w:r w:rsidRPr="00993B35">
        <w:rPr>
          <w:rFonts w:ascii="Times New Roman" w:hAnsi="Times New Roman" w:cs="Times New Roman"/>
          <w:sz w:val="24"/>
          <w:szCs w:val="24"/>
        </w:rPr>
        <w:t>regularização de débitos, no momento, que antec</w:t>
      </w:r>
      <w:r w:rsidRPr="00993B35">
        <w:rPr>
          <w:rFonts w:ascii="Times New Roman" w:hAnsi="Times New Roman" w:cs="Times New Roman"/>
          <w:sz w:val="24"/>
          <w:szCs w:val="24"/>
        </w:rPr>
        <w:t xml:space="preserve">ede a suspensão do fornecimento </w:t>
      </w:r>
      <w:r w:rsidRPr="00993B35">
        <w:rPr>
          <w:rFonts w:ascii="Times New Roman" w:hAnsi="Times New Roman" w:cs="Times New Roman"/>
          <w:sz w:val="24"/>
          <w:szCs w:val="24"/>
        </w:rPr>
        <w:t xml:space="preserve">dos serviços. </w:t>
      </w:r>
    </w:p>
    <w:p w:rsidR="009C74C6" w:rsidRPr="00993B35" w:rsidRDefault="009C74C6" w:rsidP="0099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B35">
        <w:rPr>
          <w:rFonts w:ascii="Times New Roman" w:hAnsi="Times New Roman" w:cs="Times New Roman"/>
          <w:sz w:val="24"/>
          <w:szCs w:val="24"/>
        </w:rPr>
        <w:t xml:space="preserve">Relator: </w:t>
      </w:r>
      <w:r w:rsidR="00993B35" w:rsidRPr="00993B35">
        <w:rPr>
          <w:rFonts w:ascii="Times New Roman" w:hAnsi="Times New Roman" w:cs="Times New Roman"/>
          <w:sz w:val="24"/>
          <w:szCs w:val="24"/>
        </w:rPr>
        <w:t xml:space="preserve">Deputada Cantora Mara Lima </w:t>
      </w:r>
    </w:p>
    <w:p w:rsidR="00667F62" w:rsidRDefault="00667F62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B35" w:rsidRPr="009C74C6" w:rsidRDefault="00993B35" w:rsidP="00993B35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272/2023</w:t>
      </w:r>
    </w:p>
    <w:p w:rsidR="00993B35" w:rsidRPr="00B91296" w:rsidRDefault="00993B35" w:rsidP="00993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B91296">
        <w:rPr>
          <w:rFonts w:ascii="Times New Roman" w:hAnsi="Times New Roman" w:cs="Times New Roman"/>
          <w:b/>
          <w:sz w:val="24"/>
          <w:szCs w:val="24"/>
        </w:rPr>
        <w:t>Paulo Gomes</w:t>
      </w:r>
    </w:p>
    <w:p w:rsidR="00993B35" w:rsidRPr="00993B35" w:rsidRDefault="00993B35" w:rsidP="00993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3B35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divulgação e informação quanto a cobrança da taxa de serviço ou gorjeta, bem como sua natureza opcional e facultativa, quando cobrada por restaurantes, lanchonetes, bares, hotéis e demais estabelecimentos de gênero similar.</w:t>
      </w:r>
    </w:p>
    <w:p w:rsidR="00993B35" w:rsidRPr="00993B35" w:rsidRDefault="00993B35" w:rsidP="00993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Adão Litro </w:t>
      </w:r>
      <w:r w:rsidRPr="00993B3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B35" w:rsidRDefault="00993B35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1296" w:rsidRPr="009C74C6" w:rsidRDefault="00B91296" w:rsidP="00B91296">
      <w:pPr>
        <w:spacing w:after="0" w:line="240" w:lineRule="auto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C74C6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274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B91296" w:rsidRPr="00B91296" w:rsidRDefault="00B91296" w:rsidP="00B912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29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B91296">
        <w:rPr>
          <w:rFonts w:ascii="Times New Roman" w:hAnsi="Times New Roman" w:cs="Times New Roman"/>
          <w:b/>
          <w:sz w:val="24"/>
          <w:szCs w:val="24"/>
        </w:rPr>
        <w:t>Paulo Gomes</w:t>
      </w:r>
    </w:p>
    <w:p w:rsidR="00B91296" w:rsidRPr="00B91296" w:rsidRDefault="00B91296" w:rsidP="00B91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cobrança de </w:t>
      </w:r>
      <w:proofErr w:type="spellStart"/>
      <w:r w:rsidRPr="00B91296">
        <w:rPr>
          <w:rFonts w:ascii="Times New Roman" w:eastAsia="Times New Roman" w:hAnsi="Times New Roman" w:cs="Times New Roman"/>
          <w:sz w:val="24"/>
          <w:szCs w:val="24"/>
          <w:lang w:eastAsia="pt-BR"/>
        </w:rPr>
        <w:t>couvert</w:t>
      </w:r>
      <w:proofErr w:type="spellEnd"/>
      <w:r w:rsidRPr="00B912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artístico e a obrigatoriedade de colocação de placas informativas dos valores.</w:t>
      </w:r>
    </w:p>
    <w:p w:rsidR="00B91296" w:rsidRDefault="00B91296" w:rsidP="00B912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Cobra Repórter </w:t>
      </w:r>
    </w:p>
    <w:p w:rsidR="00B91296" w:rsidRPr="00993B35" w:rsidRDefault="00B91296" w:rsidP="008A2F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91296" w:rsidRPr="00993B3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D7A3D"/>
    <w:rsid w:val="0057594A"/>
    <w:rsid w:val="005A0360"/>
    <w:rsid w:val="00667F62"/>
    <w:rsid w:val="00715CD3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E15E20"/>
    <w:rsid w:val="00EC21FA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2025-03-24T14:24:00Z</dcterms:created>
  <dcterms:modified xsi:type="dcterms:W3CDTF">2025-03-24T14:24:00Z</dcterms:modified>
</cp:coreProperties>
</file>