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80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20" w:lineRule="auto" w:before="2"/>
        <w:ind w:left="2359" w:right="2496"/>
        <w:jc w:val="center"/>
      </w:pPr>
      <w:r>
        <w:rPr>
          <w:w w:val="110"/>
        </w:rPr>
        <w:t>2ª SESSÃO EXTRAORDINÁRIA </w:t>
      </w:r>
      <w:r>
        <w:rPr>
          <w:spacing w:val="-4"/>
          <w:w w:val="110"/>
        </w:rPr>
        <w:t>(I)</w:t>
      </w:r>
    </w:p>
    <w:p>
      <w:pPr>
        <w:pStyle w:val="BodyText"/>
        <w:ind w:left="2415" w:right="2496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829360</wp:posOffset>
                </wp:positionH>
                <wp:positionV relativeFrom="paragraph">
                  <wp:posOffset>252540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19.885105pt;width:479.11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2" w:lineRule="auto" w:before="366"/>
        <w:ind w:left="3804" w:right="2219" w:hanging="1662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19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TERÇA-FEIRA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59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left="59" w:right="2349"/>
        <w:jc w:val="both"/>
      </w:pPr>
      <w:r>
        <w:rPr>
          <w:w w:val="105"/>
        </w:rPr>
        <w:t>2ª DISCUSSÃO DO PROJETO DE LEI Nº 268/23. AUTORIA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spacing w:val="40"/>
          <w:w w:val="105"/>
        </w:rPr>
        <w:t> </w:t>
      </w:r>
      <w:r>
        <w:rPr>
          <w:w w:val="105"/>
        </w:rPr>
        <w:t>EXECUTIVA.</w:t>
      </w:r>
    </w:p>
    <w:p>
      <w:pPr>
        <w:spacing w:before="1"/>
        <w:ind w:left="59" w:right="139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21.082,</w:t>
      </w:r>
      <w:r>
        <w:rPr>
          <w:w w:val="115"/>
          <w:sz w:val="32"/>
        </w:rPr>
        <w:t> DE</w:t>
      </w:r>
      <w:r>
        <w:rPr>
          <w:w w:val="115"/>
          <w:sz w:val="32"/>
        </w:rPr>
        <w:t> 1º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QUE TRATA DOS CARGOS DA ESTRUTURA ADMINISTRATIVA DAS COMISSÕES PERMANENTES</w:t>
      </w:r>
      <w:r>
        <w:rPr>
          <w:w w:val="115"/>
          <w:sz w:val="32"/>
        </w:rPr>
        <w:t> E BLOCOS TEMÁTICOS</w:t>
      </w:r>
      <w:r>
        <w:rPr>
          <w:w w:val="115"/>
          <w:sz w:val="32"/>
        </w:rPr>
        <w:t> DA ASSEMBLEIA LEGISLATIVA DO ESTADO DO PARANÁ E CRIA CARGOS</w:t>
      </w:r>
      <w:r>
        <w:rPr>
          <w:w w:val="115"/>
          <w:sz w:val="32"/>
        </w:rPr>
        <w:t>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LIDERANÇA</w:t>
      </w:r>
      <w:r>
        <w:rPr>
          <w:w w:val="115"/>
          <w:sz w:val="32"/>
        </w:rPr>
        <w:t> DA</w:t>
      </w:r>
      <w:r>
        <w:rPr>
          <w:w w:val="115"/>
          <w:sz w:val="32"/>
        </w:rPr>
        <w:t> BANCADA </w:t>
      </w:r>
      <w:r>
        <w:rPr>
          <w:spacing w:val="-2"/>
          <w:w w:val="115"/>
          <w:sz w:val="32"/>
        </w:rPr>
        <w:t>FEMININA.</w:t>
      </w:r>
    </w:p>
    <w:p>
      <w:pPr>
        <w:pStyle w:val="BodyText"/>
        <w:ind w:left="59" w:right="31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sectPr>
      <w:type w:val="continuous"/>
      <w:pgSz w:w="11910" w:h="16840"/>
      <w:pgMar w:top="140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2025-05-23T17:41:39Z</dcterms:created>
  <dcterms:modified xsi:type="dcterms:W3CDTF">2025-05-23T17:41:39Z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