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12218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218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7"/>
        </w:rPr>
      </w:pPr>
      <w:r>
        <w:rPr>
          <w:rFonts w:ascii="Times New Roman"/>
          <w:b w:val="0"/>
          <w:sz w:val="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71770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7"/>
        <w:ind w:left="875" w:right="663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340" w:lineRule="auto"/>
        <w:ind w:left="2390" w:right="2375"/>
        <w:jc w:val="center"/>
      </w:pPr>
      <w:r>
        <w:rPr/>
        <w:t>10ª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</w:t>
      </w:r>
      <w:r>
        <w:rPr>
          <w:spacing w:val="-10"/>
        </w:rPr>
        <w:t>I</w:t>
      </w:r>
    </w:p>
    <w:p>
      <w:pPr>
        <w:pStyle w:val="BodyText"/>
        <w:spacing w:line="365" w:lineRule="exact"/>
        <w:ind w:left="68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252415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875217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</w:pPr>
    </w:p>
    <w:p>
      <w:pPr>
        <w:pStyle w:val="BodyText"/>
        <w:spacing w:line="645" w:lineRule="auto"/>
        <w:ind w:left="3778" w:right="1810" w:hanging="1902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NOVEMBRO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50"/>
      </w:pPr>
    </w:p>
    <w:p>
      <w:pPr>
        <w:pStyle w:val="BodyText"/>
        <w:spacing w:before="1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244" w:lineRule="auto" w:before="8"/>
        <w:ind w:left="59" w:right="663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RESOLUÇÃO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/>
        <w:t>30/24. AUTORIA DA COMISSÃO EXECUTIVA.</w:t>
      </w:r>
    </w:p>
    <w:p>
      <w:pPr>
        <w:spacing w:line="240" w:lineRule="auto" w:before="0"/>
        <w:ind w:left="59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ANEXO ÚNICO DA RESOLUÇÃO Nº 11, DE 23 DE AGOSTO DE 2016, QUE TRATA DO REGIMENTO INTERNO </w:t>
      </w:r>
      <w:r>
        <w:rPr>
          <w:rFonts w:ascii="Arial MT" w:hAnsi="Arial MT"/>
          <w:sz w:val="32"/>
        </w:rPr>
        <w:t>DA ASSEMBLEIA LEGISLATIVA DO ESTADO DO PARANÁ, E DÁ OUTRAS PROVIDÊNCIAS.</w:t>
      </w:r>
    </w:p>
    <w:p>
      <w:pPr>
        <w:pStyle w:val="BodyText"/>
        <w:spacing w:before="1"/>
        <w:ind w:left="59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C.C.J.</w:t>
      </w:r>
    </w:p>
    <w:sectPr>
      <w:type w:val="continuous"/>
      <w:pgSz w:w="11910" w:h="16840"/>
      <w:pgMar w:top="17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2025-05-26T12:12:24Z</dcterms:created>
  <dcterms:modified xsi:type="dcterms:W3CDTF">2025-05-26T12:12:24Z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