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jsa8cx1gl358"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56ª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24 DE JUNHO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(TERÇA-FEIRA)</w:t>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pStyle w:val="Heading2"/>
        <w:spacing w:line="240" w:lineRule="auto"/>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do Projeto de Lei nº 270/2024.</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Goura, Deputada Ana Júlia, Deputada Cristina Silvestri, Deputada Luciana Rafagnin, Deputada Mabel Canto, Deputada Maria Victoria, Deputado Alexandre Amaro, Deputado Arilson Chiorato, Deputado Dr. Antenor, Deputado Professor Lemos, Deputado Requião Filho e do Deputado Evandro Araújo. </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Campanha “Abril Laranja - Mês de prevenção contra a crueldade animal”.</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do Projeto de Lei nº 634/2024.</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Paraná o Festival de Folclore de Quinta do Sol – FEFOSOL.</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do Projeto de Lei nº 782/2024.</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Tercílio Turini. </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Conselho Comunitário de Segurança da Região Sul de Londrina - CONSEG SUL de Londrina, com sede no Município de Londrina.</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do Projeto de Lei nº 303/2025.</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Soldado Adriano José. </w:t>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Insere no Calendário Oficial de Eventos do Estado do Paraná a ÉFFETA – evento católico que tem por objetivo a evangelização, prevenção e combate às drogas.</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0">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2º Turno do Projeto de Lei nº 260/2025.</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33/2025.</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18.877, de 27 de setembro de 2016, que dispõe sobre o processo administrativo fiscal e o Conselho de Contribuintes e Recursos Fiscais.</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Emenda de plenário aguardando parecer da C.C.J. </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2º Turno do Projeto de Lei nº 340/2025.</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Tribunal de Justiça do Estado do Paraná. Ofício nº 931/2025.</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dispositivos da Lei nº 21.811, de 13 de dezembro de 2023, relativamente aos cargos em comissão e funções comissionadas do Quadro de Pessoal do Poder Judiciário do Estado do Paraná vinculadas à Corregedoria-Geral da Justiça e Corregedoria da Justiça.</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2º Turno do Projeto de Resolução nº 7/2025.</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Comissão de Tomada de Contas.</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Aprova a Prestação de Contas do Governo do Estado do Paraná, referente ao exercício financeiro de 2023.</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Tomada de Contas.</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2º Turno do Projeto de Resolução nº 8/2025.</w:t>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Comissão de Tomada de Contas.</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Aprova a Prestação de Contas Anual do Fundo Especial do Controle Externo do Tribunal de Contas do Estado do Paraná, relativa ao exercício financeiro de 2023.</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Comissão de Tomada de Contas.</w:t>
      </w:r>
    </w:p>
    <w:p w:rsidR="00000000" w:rsidDel="00000000" w:rsidP="00000000" w:rsidRDefault="00000000" w:rsidRPr="00000000" w14:paraId="00000036">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7">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8">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1º Turno do Projeto de Lei nº 414/2025.</w:t>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46/2025.</w:t>
      </w:r>
    </w:p>
    <w:p w:rsidR="00000000" w:rsidDel="00000000" w:rsidP="00000000" w:rsidRDefault="00000000" w:rsidRPr="00000000" w14:paraId="0000003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estrutura de Cargos Comissionados Executivos, Funções Comissionadas Executivas e Funções Comissionadas de Confiança da Agência de Defesa Agropecuária do Paraná, e dá outras providências.</w:t>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 Comissão de Agricultura, Pecuária, Abastecimento e Desenvolvimento Rural.</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1º Turno do Projeto de Lei nº 415/2025.</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47/2025.</w:t>
      </w:r>
    </w:p>
    <w:p w:rsidR="00000000" w:rsidDel="00000000" w:rsidP="00000000" w:rsidRDefault="00000000" w:rsidRPr="00000000" w14:paraId="0000004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20.121, de 31 de dezembro de 2019, que dispõe sobre a incorporação do Instituto Paranaense de Assistência Técnica e Extensão Rural, do Centro Paranaense de Referência em Agroecologia e da Companhia de Desenvolvimento Agropecuário do Paraná pelo Instituto Agronômico do Paraná, e dá outras providências.</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 Comissão de Agricultura, Pecuária, Abastecimento e Desenvolvimento Rural.</w:t>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45">
      <w:pPr>
        <w:pStyle w:val="Heading2"/>
        <w:spacing w:line="240" w:lineRule="auto"/>
        <w:ind w:left="0" w:firstLine="0"/>
        <w:jc w:val="center"/>
        <w:rPr>
          <w:rFonts w:ascii="Times New Roman" w:cs="Times New Roman" w:eastAsia="Times New Roman" w:hAnsi="Times New Roman"/>
          <w:b w:val="0"/>
          <w:color w:val="ff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11 – Turno Único do Projeto de Lei nº 358/2025.</w:t>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Arilson Chiorato, Deputado Alexandre Curi, Deputado Tercílio Turini e da Deputada Cloara Pinheiro. </w:t>
      </w:r>
    </w:p>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Cidadã Honorária do Estado do Paraná à Senhora Doutora Mariangela Hungria da Cunha.</w:t>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12 – Turno Único do Projeto de Lei nº 351/2025.</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e do Ney Leprevost.</w:t>
      </w:r>
    </w:p>
    <w:p w:rsidR="00000000" w:rsidDel="00000000" w:rsidP="00000000" w:rsidRDefault="00000000" w:rsidRPr="00000000" w14:paraId="0000004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ao Instituto da Pessoa com Diabetes - IPD, com sede no Município de Curitiba. </w:t>
      </w: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color w:val="000000"/>
          <w:sz w:val="26"/>
          <w:szCs w:val="26"/>
        </w:rPr>
      </w:pPr>
      <w:bookmarkStart w:colFirst="0" w:colLast="0" w:name="_heading=h.tx7lb85ye6mc" w:id="1"/>
      <w:bookmarkEnd w:id="1"/>
      <w:r w:rsidDel="00000000" w:rsidR="00000000" w:rsidRPr="00000000">
        <w:rPr>
          <w:rFonts w:ascii="Times New Roman" w:cs="Times New Roman" w:eastAsia="Times New Roman" w:hAnsi="Times New Roman"/>
          <w:b w:val="1"/>
          <w:color w:val="000000"/>
          <w:sz w:val="26"/>
          <w:szCs w:val="26"/>
          <w:rtl w:val="0"/>
        </w:rPr>
        <w:t xml:space="preserve">Parecer favorável: C.C.J.</w:t>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yoXcDx1AFVLxCjrfYvMGnU19BQ==">CgMxLjAyDmguanNhOGN4MWdsMzU4Mg5oLnR4N2xiODV5ZTZtYzgAciExSC15amhobGR1V2d1U0gySU03cVNJTDNoRWlkazhaQlU=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2025-06-23T20:04:00Z</dcterms:created>
  <dc:creator>alep</dc:creator>
</cp:coreProperties>
</file>